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A1" w:rsidRPr="00B212A1" w:rsidRDefault="00B212A1" w:rsidP="00B21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Приложение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highlight w:val="green"/>
          <w:lang w:eastAsia="ru-RU"/>
        </w:rPr>
        <w:t>Приложение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это особый вид определения, выраженного именем существительным, которое или согласуется с определяемым словом в падеже, или стоит при определяемом слове в именительном падеже (независимо от того, в каком падеже стоит определяемое слово):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врач-терапевт, у врача-терапевта, к врачу-терапевту; газета «Труд», из газеты «Труд», в газете «Труд».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именительного падежа употребляется почти исключительно в случаях, когда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приложением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имя собственное (как правило, не личное):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озеро Байкал, на озе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 xml:space="preserve">ре Байкал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 д.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отдельных случаях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именительном падеже присоединяется к определяемому существительному с помощью слов, указывающих на характер собственного имени (по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кличке, по фамилии, по прозвищу): собака по кличке Дружок, человек по фамилии..., по имени..., по прозвищу.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Своеобразие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приложений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том, что с их помощью выражаются отношения тождества. Это проявляется в том, что определяемое слово и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дают разные  обозначения  одного  предмета,   так  как  признак  предмета приложения выражают путём дополнительного (повторного) наименования того же предмета.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отличие от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приложения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несогласованное определение, выраженное существительным, всегда выражает признак предмета путём указания на его соотношение с другим предметом. Ср.: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кот Васька (Васька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кот Васьки (Васьки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несогласованное определение);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сестра-учительница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сестра учительницы.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Признаки, выражаемые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приложением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очень разнообразны.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Приложения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обозначать качества, свойства  предмета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(девочка-умница, завод-гигант),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назначение предмета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(вагон-ловушка),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конкретизировать предмет указанием его собственного имени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(река Москва),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обозначать возраст, звание, занятие лица (т.е. указывать, к какому роду предметов относится данный предмет: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девочка-школьница, осетин-извозчик)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 п.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Приложения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необособленными и обособленными; могут быть выражены одним существительным и сочетанием слов.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 ведь знаете Гаврилу, слободского плотника? (И. Тургенев); Девушка-француженка, привезённая из-за границы, вошла предложить ей одеваться (И. Тур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 xml:space="preserve">генев); Коня взял себе мельник </w:t>
      </w:r>
      <w:proofErr w:type="spellStart"/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Панкрат</w:t>
      </w:r>
      <w:proofErr w:type="spellEnd"/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(К. Паустов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>ский); Хозяйка дома, по имени Люся, пугливо смотрела в сторону солдат...  (В. Астафьев); Вьётся улица-змея (В. Маяковский).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отличие от сочетаний с другими видами определений в сочетаниях с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приложением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подчинительные отношения часто стёрты, затушёваны: не всегда ясно, какое существительное является главным словом, какое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приложением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оба существительных в сочетаниях с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приложением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воспринимаются  как  относительно  равноправные,  например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друзья-студенты.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особенность порождает тенденцию к слиянию определяемого слова и приложения в единый член предложения, а иногда даже в единое слово (часто полное наименование предмета предполагает одновременное употребление нарицательного и собственного имени, например: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князь Андрей, полуостров Таймыр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под.</w:t>
      </w:r>
    </w:p>
    <w:p w:rsidR="00B212A1" w:rsidRPr="00B212A1" w:rsidRDefault="00B212A1" w:rsidP="00B212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являются </w:t>
      </w:r>
      <w:r w:rsidRPr="00B2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приложениями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1) сочетания синонимов или антонимов: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путь-дорога, купля-продажа;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сочетания слов по ассоциации: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хлеб-соль; </w:t>
      </w:r>
      <w:r w:rsidRP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сложные слова: </w:t>
      </w:r>
      <w:r w:rsidRPr="00B212A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плащ-палатка, диван-кровать.</w:t>
      </w:r>
    </w:p>
    <w:p w:rsidR="001C31EB" w:rsidRDefault="001C31EB"/>
    <w:sectPr w:rsidR="001C31EB" w:rsidSect="001C3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12A1"/>
    <w:rsid w:val="001C31EB"/>
    <w:rsid w:val="00540E79"/>
    <w:rsid w:val="00B21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2650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Никитушка</dc:creator>
  <cp:keywords/>
  <dc:description/>
  <cp:lastModifiedBy>Никитушка</cp:lastModifiedBy>
  <cp:revision>2</cp:revision>
  <dcterms:created xsi:type="dcterms:W3CDTF">2013-08-31T09:33:00Z</dcterms:created>
  <dcterms:modified xsi:type="dcterms:W3CDTF">2013-08-31T09:33:00Z</dcterms:modified>
</cp:coreProperties>
</file>